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Gällivare kommunfullmäktige</w:t>
      </w:r>
    </w:p>
    <w:p>
      <w:pPr>
        <w:pStyle w:val="Heading1"/>
      </w:pPr>
      <w:r>
        <w:t xml:space="preserve">Stöd startups och grön innovation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Gällivare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rankas lågt (Svenskt Näringsliv 2024). Grön omställning ger möjlighet till diversifiering.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Gällivare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innovationsråd med näringsliv och LKAB.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starta-eget-stöd upp till 100 000 kr.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förenkla tillståndsprocesser för gröna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antal nystartade företag årligen.</w:t>
      </w:r>
    </w:p>
    <w:p>
      <w:pPr>
        <w:spacing w:before="360"/>
      </w:pPr>
    </w:p>
    <w:p>
      <w:r>
        <w:t xml:space="preserve">Gällivare,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Gällivare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2026-07-14T03:09:26.000Z</dcterms:created>
  <dcterms:modified xsi:type="dcterms:W3CDTF">2026-07-14T03:09:26.000Z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